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4052" w14:textId="77777777" w:rsidR="00EF2E59" w:rsidRDefault="00EF2E59" w:rsidP="00F833C8">
      <w:pPr>
        <w:pStyle w:val="Heading1"/>
        <w:jc w:val="center"/>
      </w:pPr>
      <w:r>
        <w:t>University of Birmingham</w:t>
      </w:r>
    </w:p>
    <w:p w14:paraId="7CA5449B" w14:textId="77777777" w:rsidR="00EF2E59" w:rsidRDefault="00EF2E59" w:rsidP="00F833C8">
      <w:pPr>
        <w:pStyle w:val="Heading1"/>
        <w:jc w:val="center"/>
      </w:pPr>
      <w:r>
        <w:t>Economic and Social Impact</w:t>
      </w:r>
    </w:p>
    <w:p w14:paraId="6B45DEB3" w14:textId="77777777" w:rsidR="00EF2E59" w:rsidRDefault="00EF2E59" w:rsidP="00EF2E59">
      <w:pPr>
        <w:rPr>
          <w:rFonts w:ascii="Arial" w:hAnsi="Arial" w:cs="Arial"/>
        </w:rPr>
      </w:pPr>
    </w:p>
    <w:p w14:paraId="727D648C" w14:textId="77777777" w:rsidR="00EF2E59" w:rsidRPr="00F833C8" w:rsidRDefault="00EF2E59" w:rsidP="00F833C8">
      <w:pPr>
        <w:pStyle w:val="Heading2"/>
      </w:pPr>
      <w:r w:rsidRPr="00F833C8">
        <w:t>Introduction</w:t>
      </w:r>
    </w:p>
    <w:p w14:paraId="4F8741E0" w14:textId="77777777" w:rsidR="00EF2E59" w:rsidRDefault="00EF2E59" w:rsidP="00EF2E59">
      <w:pPr>
        <w:rPr>
          <w:rFonts w:ascii="Arial" w:hAnsi="Arial" w:cs="Arial"/>
        </w:rPr>
      </w:pPr>
      <w:r>
        <w:rPr>
          <w:rFonts w:ascii="Arial" w:hAnsi="Arial" w:cs="Arial"/>
        </w:rPr>
        <w:t>The University of Birmingham is proud to be rooted in of one of the most dynamic and diverse cities in the country. England’s first civic university, we have been pursuing and sharing knowledge through outstanding teaching and research since 1900.</w:t>
      </w:r>
    </w:p>
    <w:p w14:paraId="12F70153" w14:textId="10685584" w:rsidR="00EF2E59" w:rsidRDefault="00EF2E59" w:rsidP="00EF2E59">
      <w:pPr>
        <w:rPr>
          <w:rFonts w:ascii="Arial" w:hAnsi="Arial" w:cs="Arial"/>
        </w:rPr>
      </w:pPr>
      <w:r>
        <w:rPr>
          <w:rFonts w:ascii="Arial" w:hAnsi="Arial" w:cs="Arial"/>
        </w:rPr>
        <w:t xml:space="preserve">Our Birmingham campus has grown to 672 acres, providing a welcoming home to more than </w:t>
      </w:r>
      <w:r w:rsidR="00810AB9">
        <w:rPr>
          <w:rFonts w:ascii="Arial" w:hAnsi="Arial" w:cs="Arial"/>
        </w:rPr>
        <w:t>4</w:t>
      </w:r>
      <w:r>
        <w:rPr>
          <w:rFonts w:ascii="Arial" w:hAnsi="Arial" w:cs="Arial"/>
        </w:rPr>
        <w:t xml:space="preserve">0,000 students from across the world. Our size has changed, but our civic commitment has not. </w:t>
      </w:r>
    </w:p>
    <w:p w14:paraId="28FA838D" w14:textId="77777777" w:rsidR="00EF2E59" w:rsidRDefault="00EF2E59" w:rsidP="00EF2E59">
      <w:pPr>
        <w:rPr>
          <w:rFonts w:ascii="Arial" w:hAnsi="Arial" w:cs="Arial"/>
        </w:rPr>
      </w:pPr>
      <w:r>
        <w:rPr>
          <w:rFonts w:ascii="Arial" w:hAnsi="Arial" w:cs="Arial"/>
        </w:rPr>
        <w:t xml:space="preserve">To understand how and where the University of Birmingham contributes to its city, region and country, we commissioned London Economics to look at our economic and social impact. </w:t>
      </w:r>
    </w:p>
    <w:p w14:paraId="2D958D1E" w14:textId="01AB89D1" w:rsidR="00EF2E59" w:rsidRDefault="00EF2E59" w:rsidP="00EF2E59">
      <w:pPr>
        <w:rPr>
          <w:rFonts w:ascii="Arial" w:hAnsi="Arial" w:cs="Arial"/>
        </w:rPr>
      </w:pPr>
      <w:r>
        <w:rPr>
          <w:rFonts w:ascii="Arial" w:hAnsi="Arial" w:cs="Arial"/>
        </w:rPr>
        <w:t xml:space="preserve">Their comprehensive review, based on data from the 2021-22 academic year, highlights the significant impact we make </w:t>
      </w:r>
      <w:r w:rsidR="00E901D9">
        <w:rPr>
          <w:rFonts w:ascii="Arial" w:hAnsi="Arial" w:cs="Arial"/>
        </w:rPr>
        <w:t>to</w:t>
      </w:r>
      <w:r>
        <w:rPr>
          <w:rFonts w:ascii="Arial" w:hAnsi="Arial" w:cs="Arial"/>
        </w:rPr>
        <w:t xml:space="preserve"> the West Midlands and UK economies – totalling £4.4bn and supporting nearly 20,000 jobs. </w:t>
      </w:r>
    </w:p>
    <w:p w14:paraId="5D538A05" w14:textId="77777777" w:rsidR="00EF2E59" w:rsidRDefault="00EF2E59" w:rsidP="00EF2E59">
      <w:pPr>
        <w:rPr>
          <w:rFonts w:ascii="Arial" w:hAnsi="Arial" w:cs="Arial"/>
        </w:rPr>
      </w:pPr>
      <w:r>
        <w:rPr>
          <w:rFonts w:ascii="Arial" w:hAnsi="Arial" w:cs="Arial"/>
        </w:rPr>
        <w:t>Through education and skills, research and development, and our work with students, staff, local communities and partners, we make a positive and lasting impact on individuals and society.</w:t>
      </w:r>
    </w:p>
    <w:p w14:paraId="15D77762" w14:textId="77777777" w:rsidR="0011349F" w:rsidRDefault="0011349F" w:rsidP="00DB3DB4">
      <w:pPr>
        <w:pBdr>
          <w:bottom w:val="single" w:sz="4" w:space="1" w:color="auto"/>
        </w:pBdr>
        <w:rPr>
          <w:rFonts w:ascii="Arial" w:hAnsi="Arial" w:cs="Arial"/>
          <w:b/>
          <w:bCs/>
        </w:rPr>
      </w:pPr>
    </w:p>
    <w:p w14:paraId="28BF65E4" w14:textId="77C358C8" w:rsidR="00DB3DB4" w:rsidRDefault="00DB3DB4" w:rsidP="00DB3DB4">
      <w:pPr>
        <w:rPr>
          <w:rFonts w:ascii="Arial" w:hAnsi="Arial" w:cs="Arial"/>
        </w:rPr>
      </w:pPr>
      <w:r>
        <w:rPr>
          <w:rFonts w:ascii="Arial" w:hAnsi="Arial" w:cs="Arial"/>
        </w:rPr>
        <w:t xml:space="preserve">We contribute £4.4 </w:t>
      </w:r>
      <w:r w:rsidR="004B6C8E">
        <w:rPr>
          <w:rFonts w:ascii="Arial" w:hAnsi="Arial" w:cs="Arial"/>
        </w:rPr>
        <w:t>b</w:t>
      </w:r>
      <w:r>
        <w:rPr>
          <w:rFonts w:ascii="Arial" w:hAnsi="Arial" w:cs="Arial"/>
        </w:rPr>
        <w:t>illion every year to the UK economy – more than the West Midlands’s car manufacturing industry (£3.562 billion)</w:t>
      </w:r>
    </w:p>
    <w:p w14:paraId="178A5DC3" w14:textId="77777777" w:rsidR="00AE57F1" w:rsidRDefault="00DB3DB4" w:rsidP="00DB3DB4">
      <w:pPr>
        <w:rPr>
          <w:rFonts w:ascii="Arial" w:hAnsi="Arial" w:cs="Arial"/>
        </w:rPr>
      </w:pPr>
      <w:r w:rsidRPr="003F2FD6">
        <w:rPr>
          <w:rFonts w:ascii="Arial" w:hAnsi="Arial" w:cs="Arial"/>
        </w:rPr>
        <w:t xml:space="preserve">1 in 50 jobs in Birmingham </w:t>
      </w:r>
      <w:r>
        <w:rPr>
          <w:rFonts w:ascii="Arial" w:hAnsi="Arial" w:cs="Arial"/>
        </w:rPr>
        <w:t xml:space="preserve">are </w:t>
      </w:r>
      <w:r w:rsidRPr="003F2FD6">
        <w:rPr>
          <w:rFonts w:ascii="Arial" w:hAnsi="Arial" w:cs="Arial"/>
        </w:rPr>
        <w:t xml:space="preserve">directly </w:t>
      </w:r>
      <w:r>
        <w:rPr>
          <w:rFonts w:ascii="Arial" w:hAnsi="Arial" w:cs="Arial"/>
        </w:rPr>
        <w:t>support</w:t>
      </w:r>
      <w:r w:rsidRPr="003F2FD6">
        <w:rPr>
          <w:rFonts w:ascii="Arial" w:hAnsi="Arial" w:cs="Arial"/>
        </w:rPr>
        <w:t xml:space="preserve">ed by the University </w:t>
      </w:r>
    </w:p>
    <w:p w14:paraId="51B4A927" w14:textId="323BBF82" w:rsidR="00DB3DB4" w:rsidRDefault="00AE57F1" w:rsidP="00DB3DB4">
      <w:pPr>
        <w:rPr>
          <w:rFonts w:ascii="Arial" w:hAnsi="Arial" w:cs="Arial"/>
        </w:rPr>
      </w:pPr>
      <w:r>
        <w:rPr>
          <w:rFonts w:ascii="Arial" w:hAnsi="Arial" w:cs="Arial"/>
        </w:rPr>
        <w:t>W</w:t>
      </w:r>
      <w:r w:rsidR="00DB3DB4" w:rsidRPr="003F2FD6">
        <w:rPr>
          <w:rFonts w:ascii="Arial" w:hAnsi="Arial" w:cs="Arial"/>
        </w:rPr>
        <w:t>e support</w:t>
      </w:r>
      <w:r w:rsidR="00DB3DB4">
        <w:rPr>
          <w:rFonts w:ascii="Arial" w:hAnsi="Arial" w:cs="Arial"/>
        </w:rPr>
        <w:t xml:space="preserve"> nearly 20,000 FTE jobs in the UK and more than 13,000 of those are in the West Midlands</w:t>
      </w:r>
    </w:p>
    <w:p w14:paraId="387A89E5" w14:textId="469B4EC1" w:rsidR="004B6975" w:rsidRPr="004B6975" w:rsidRDefault="004B6975" w:rsidP="004B6975">
      <w:pPr>
        <w:pBdr>
          <w:bottom w:val="single" w:sz="4" w:space="1" w:color="auto"/>
        </w:pBdr>
        <w:rPr>
          <w:rFonts w:ascii="Arial" w:hAnsi="Arial" w:cs="Arial"/>
        </w:rPr>
      </w:pPr>
      <w:r w:rsidRPr="004B6975">
        <w:rPr>
          <w:rFonts w:ascii="Arial" w:hAnsi="Arial" w:cs="Arial"/>
          <w:lang w:val="en-US"/>
        </w:rPr>
        <w:t>Compared to operational costs of £769 million</w:t>
      </w:r>
      <w:r>
        <w:rPr>
          <w:rFonts w:ascii="Arial" w:hAnsi="Arial" w:cs="Arial"/>
          <w:lang w:val="en-US"/>
        </w:rPr>
        <w:t xml:space="preserve">, the </w:t>
      </w:r>
      <w:r w:rsidRPr="004B6975">
        <w:rPr>
          <w:rFonts w:ascii="Arial" w:hAnsi="Arial" w:cs="Arial"/>
          <w:lang w:val="en-US"/>
        </w:rPr>
        <w:t xml:space="preserve">benefit to cost ratio </w:t>
      </w:r>
      <w:r>
        <w:rPr>
          <w:rFonts w:ascii="Arial" w:hAnsi="Arial" w:cs="Arial"/>
          <w:lang w:val="en-US"/>
        </w:rPr>
        <w:t>is</w:t>
      </w:r>
      <w:r w:rsidRPr="004B6975">
        <w:rPr>
          <w:rFonts w:ascii="Arial" w:hAnsi="Arial" w:cs="Arial"/>
          <w:lang w:val="en-US"/>
        </w:rPr>
        <w:t xml:space="preserve"> approximately 5.7:1</w:t>
      </w:r>
    </w:p>
    <w:p w14:paraId="619612F0" w14:textId="77777777" w:rsidR="00DB3DB4" w:rsidRDefault="00DB3DB4" w:rsidP="00DB3DB4">
      <w:pPr>
        <w:pBdr>
          <w:bottom w:val="single" w:sz="4" w:space="1" w:color="auto"/>
        </w:pBdr>
        <w:rPr>
          <w:rFonts w:ascii="Arial" w:hAnsi="Arial" w:cs="Arial"/>
        </w:rPr>
      </w:pPr>
    </w:p>
    <w:p w14:paraId="5DB8E887" w14:textId="5B6A3DF3" w:rsidR="00EF2E59" w:rsidRDefault="00EF2E59" w:rsidP="00EF2E59">
      <w:pPr>
        <w:rPr>
          <w:rFonts w:ascii="Arial" w:hAnsi="Arial" w:cs="Arial"/>
        </w:rPr>
      </w:pPr>
      <w:r>
        <w:rPr>
          <w:rFonts w:ascii="Arial" w:hAnsi="Arial" w:cs="Arial"/>
        </w:rPr>
        <w:t>QS World University Rankings – 80th</w:t>
      </w:r>
    </w:p>
    <w:p w14:paraId="19BD7769" w14:textId="21C79B5E" w:rsidR="00EF2E59" w:rsidRDefault="00A50DAC" w:rsidP="00EF2E59">
      <w:pPr>
        <w:rPr>
          <w:rFonts w:ascii="Arial" w:hAnsi="Arial" w:cs="Arial"/>
        </w:rPr>
      </w:pPr>
      <w:r>
        <w:rPr>
          <w:rFonts w:ascii="Arial" w:hAnsi="Arial" w:cs="Arial"/>
        </w:rPr>
        <w:t>More than 40,000 students</w:t>
      </w:r>
    </w:p>
    <w:p w14:paraId="11BAFA61" w14:textId="40200920" w:rsidR="0058695A" w:rsidRDefault="0058695A" w:rsidP="00EF2E59">
      <w:pPr>
        <w:rPr>
          <w:rFonts w:ascii="Arial" w:hAnsi="Arial" w:cs="Arial"/>
        </w:rPr>
      </w:pPr>
      <w:r>
        <w:rPr>
          <w:rFonts w:ascii="Arial" w:hAnsi="Arial" w:cs="Arial"/>
        </w:rPr>
        <w:t>We supported its students and graduates to start more than 60 new businesses</w:t>
      </w:r>
    </w:p>
    <w:p w14:paraId="6350EDE6" w14:textId="558FCCBC" w:rsidR="004C230D" w:rsidRDefault="004C230D" w:rsidP="00EF2E59">
      <w:pPr>
        <w:rPr>
          <w:rFonts w:ascii="Arial" w:hAnsi="Arial" w:cs="Arial"/>
        </w:rPr>
      </w:pPr>
      <w:r>
        <w:rPr>
          <w:rFonts w:ascii="Arial" w:hAnsi="Arial" w:cs="Arial"/>
        </w:rPr>
        <w:t>More than 8,000 staff</w:t>
      </w:r>
    </w:p>
    <w:p w14:paraId="149AADFF" w14:textId="3CB06141" w:rsidR="00EF2E59" w:rsidRDefault="004C230D" w:rsidP="00EF2E59">
      <w:pPr>
        <w:rPr>
          <w:rFonts w:ascii="Arial" w:hAnsi="Arial" w:cs="Arial"/>
        </w:rPr>
      </w:pPr>
      <w:r>
        <w:rPr>
          <w:rFonts w:ascii="Arial" w:hAnsi="Arial" w:cs="Arial"/>
        </w:rPr>
        <w:t>I</w:t>
      </w:r>
      <w:r w:rsidR="00EF2E59">
        <w:rPr>
          <w:rFonts w:ascii="Arial" w:hAnsi="Arial" w:cs="Arial"/>
        </w:rPr>
        <w:t>n 2021-22, 88% of the University’s staff lived in the West Midlands, with 47% living in Birmingham</w:t>
      </w:r>
    </w:p>
    <w:p w14:paraId="6C956DE9" w14:textId="77777777" w:rsidR="008D6115" w:rsidRDefault="008D6115" w:rsidP="008D6115">
      <w:pPr>
        <w:pBdr>
          <w:bottom w:val="single" w:sz="4" w:space="1" w:color="auto"/>
        </w:pBdr>
        <w:rPr>
          <w:rFonts w:ascii="Arial" w:hAnsi="Arial" w:cs="Arial"/>
          <w:lang w:val="en-US"/>
        </w:rPr>
      </w:pPr>
    </w:p>
    <w:p w14:paraId="27326F76" w14:textId="77777777" w:rsidR="008D6115" w:rsidRDefault="008D6115" w:rsidP="008D6115">
      <w:pPr>
        <w:rPr>
          <w:rFonts w:ascii="Arial" w:hAnsi="Arial" w:cs="Arial"/>
        </w:rPr>
      </w:pPr>
      <w:r>
        <w:rPr>
          <w:rFonts w:ascii="Arial" w:hAnsi="Arial" w:cs="Arial"/>
        </w:rPr>
        <w:t xml:space="preserve">Our teaching is worth £1.3 billion to the economy </w:t>
      </w:r>
    </w:p>
    <w:p w14:paraId="6EEBA5F4" w14:textId="4DA00718" w:rsidR="008D6115" w:rsidRDefault="008D6115" w:rsidP="008D6115">
      <w:pPr>
        <w:rPr>
          <w:rFonts w:ascii="Arial" w:hAnsi="Arial" w:cs="Arial"/>
        </w:rPr>
      </w:pPr>
      <w:r>
        <w:rPr>
          <w:rFonts w:ascii="Arial" w:hAnsi="Arial" w:cs="Arial"/>
        </w:rPr>
        <w:lastRenderedPageBreak/>
        <w:t>We ranked 1</w:t>
      </w:r>
      <w:r>
        <w:rPr>
          <w:rFonts w:ascii="Arial" w:hAnsi="Arial" w:cs="Arial"/>
          <w:vertAlign w:val="superscript"/>
        </w:rPr>
        <w:t>st</w:t>
      </w:r>
      <w:r>
        <w:rPr>
          <w:rFonts w:ascii="Arial" w:hAnsi="Arial" w:cs="Arial"/>
        </w:rPr>
        <w:t xml:space="preserve"> out of Russell Group institutions in Great Britain for UK domiciled graduates in sustained employment and/or further study five years after graduation.  </w:t>
      </w:r>
    </w:p>
    <w:p w14:paraId="624C4102" w14:textId="77777777" w:rsidR="0058695A" w:rsidRDefault="0058695A" w:rsidP="0058695A">
      <w:pPr>
        <w:rPr>
          <w:rFonts w:ascii="Arial" w:hAnsi="Arial" w:cs="Arial"/>
        </w:rPr>
      </w:pPr>
      <w:r>
        <w:rPr>
          <w:rFonts w:ascii="Arial" w:hAnsi="Arial" w:cs="Arial"/>
        </w:rPr>
        <w:t xml:space="preserve">36% of our students are first generation from their family to attend university </w:t>
      </w:r>
    </w:p>
    <w:p w14:paraId="2266E6DC" w14:textId="44E313A3" w:rsidR="0058695A" w:rsidRDefault="0058695A" w:rsidP="0058695A">
      <w:pPr>
        <w:rPr>
          <w:rFonts w:ascii="Arial" w:hAnsi="Arial" w:cs="Arial"/>
        </w:rPr>
      </w:pPr>
      <w:r>
        <w:rPr>
          <w:rFonts w:ascii="Arial" w:hAnsi="Arial" w:cs="Arial"/>
        </w:rPr>
        <w:t>We worked with more than 15,000 school pupils across the West Midlands to raise aspirations</w:t>
      </w:r>
    </w:p>
    <w:p w14:paraId="027043DB" w14:textId="1C933BE3" w:rsidR="0058695A" w:rsidRDefault="0058695A" w:rsidP="0058695A">
      <w:pPr>
        <w:rPr>
          <w:rFonts w:ascii="Arial" w:hAnsi="Arial" w:cs="Arial"/>
        </w:rPr>
      </w:pPr>
      <w:r>
        <w:rPr>
          <w:rFonts w:ascii="Arial" w:hAnsi="Arial" w:cs="Arial"/>
        </w:rPr>
        <w:t xml:space="preserve">The University trained more than 5,300 teachers, social workers, nurses, doctors and dentists </w:t>
      </w:r>
    </w:p>
    <w:p w14:paraId="32764182" w14:textId="77777777" w:rsidR="008D6115" w:rsidRDefault="008D6115" w:rsidP="008D6115">
      <w:pPr>
        <w:pBdr>
          <w:bottom w:val="single" w:sz="4" w:space="1" w:color="auto"/>
        </w:pBdr>
        <w:rPr>
          <w:rFonts w:ascii="Arial" w:hAnsi="Arial" w:cs="Arial"/>
        </w:rPr>
      </w:pPr>
    </w:p>
    <w:p w14:paraId="31A7372F" w14:textId="77777777" w:rsidR="008D6115" w:rsidRDefault="00EF2E59" w:rsidP="00EF2E59">
      <w:pPr>
        <w:rPr>
          <w:rFonts w:ascii="Arial" w:hAnsi="Arial" w:cs="Arial"/>
        </w:rPr>
      </w:pPr>
      <w:r>
        <w:rPr>
          <w:rFonts w:ascii="Arial" w:hAnsi="Arial" w:cs="Arial"/>
        </w:rPr>
        <w:t>Our research and knowledge transfer activity contributes £1.4 billion to the economy</w:t>
      </w:r>
    </w:p>
    <w:p w14:paraId="62E56F2F" w14:textId="717D34EC" w:rsidR="00EF2E59" w:rsidRDefault="008D6115" w:rsidP="00EF2E59">
      <w:pPr>
        <w:rPr>
          <w:rFonts w:ascii="Arial" w:hAnsi="Arial" w:cs="Arial"/>
        </w:rPr>
      </w:pPr>
      <w:r>
        <w:rPr>
          <w:rFonts w:ascii="Arial" w:hAnsi="Arial" w:cs="Arial"/>
        </w:rPr>
        <w:t>E</w:t>
      </w:r>
      <w:r w:rsidR="00EF2E59">
        <w:rPr>
          <w:rFonts w:ascii="Arial" w:hAnsi="Arial" w:cs="Arial"/>
        </w:rPr>
        <w:t xml:space="preserve">very £1 </w:t>
      </w:r>
      <w:proofErr w:type="spellStart"/>
      <w:r w:rsidR="00EF2E59">
        <w:rPr>
          <w:rFonts w:ascii="Arial" w:hAnsi="Arial" w:cs="Arial"/>
        </w:rPr>
        <w:t>million</w:t>
      </w:r>
      <w:proofErr w:type="spellEnd"/>
      <w:r w:rsidR="00EF2E59">
        <w:rPr>
          <w:rFonts w:ascii="Arial" w:hAnsi="Arial" w:cs="Arial"/>
        </w:rPr>
        <w:t xml:space="preserve"> of research income generates £</w:t>
      </w:r>
      <w:r w:rsidR="004007DF">
        <w:rPr>
          <w:rFonts w:ascii="Arial" w:hAnsi="Arial" w:cs="Arial"/>
        </w:rPr>
        <w:t>6.49</w:t>
      </w:r>
      <w:r w:rsidR="00EF2E59">
        <w:rPr>
          <w:rFonts w:ascii="Arial" w:hAnsi="Arial" w:cs="Arial"/>
        </w:rPr>
        <w:t xml:space="preserve"> </w:t>
      </w:r>
      <w:proofErr w:type="spellStart"/>
      <w:r w:rsidR="00EF2E59">
        <w:rPr>
          <w:rFonts w:ascii="Arial" w:hAnsi="Arial" w:cs="Arial"/>
        </w:rPr>
        <w:t>million</w:t>
      </w:r>
      <w:proofErr w:type="spellEnd"/>
      <w:r w:rsidR="00EF2E59">
        <w:rPr>
          <w:rFonts w:ascii="Arial" w:hAnsi="Arial" w:cs="Arial"/>
        </w:rPr>
        <w:t xml:space="preserve"> of impact in the UK economy, of which £1.50 million is accrued in the West Midlands</w:t>
      </w:r>
    </w:p>
    <w:p w14:paraId="380A2490" w14:textId="2CD03FDE" w:rsidR="0058695A" w:rsidRDefault="00054390" w:rsidP="00EF2E59">
      <w:pPr>
        <w:rPr>
          <w:rFonts w:ascii="Arial" w:hAnsi="Arial" w:cs="Arial"/>
        </w:rPr>
      </w:pPr>
      <w:r>
        <w:rPr>
          <w:rFonts w:ascii="Arial" w:hAnsi="Arial" w:cs="Arial"/>
        </w:rPr>
        <w:t xml:space="preserve">Our </w:t>
      </w:r>
      <w:r w:rsidRPr="00054390">
        <w:rPr>
          <w:rFonts w:ascii="Arial" w:hAnsi="Arial" w:cs="Arial"/>
        </w:rPr>
        <w:t xml:space="preserve">research ranked in the top 5 in REF2021 in </w:t>
      </w:r>
      <w:r>
        <w:rPr>
          <w:rFonts w:ascii="Arial" w:hAnsi="Arial" w:cs="Arial"/>
        </w:rPr>
        <w:t>nine</w:t>
      </w:r>
      <w:r w:rsidRPr="00054390">
        <w:rPr>
          <w:rFonts w:ascii="Arial" w:hAnsi="Arial" w:cs="Arial"/>
        </w:rPr>
        <w:t xml:space="preserve"> units of assessment and ranked top in the UK for research impact in </w:t>
      </w:r>
      <w:r>
        <w:rPr>
          <w:rFonts w:ascii="Arial" w:hAnsi="Arial" w:cs="Arial"/>
        </w:rPr>
        <w:t>four</w:t>
      </w:r>
      <w:r w:rsidRPr="00054390">
        <w:rPr>
          <w:rFonts w:ascii="Arial" w:hAnsi="Arial" w:cs="Arial"/>
        </w:rPr>
        <w:t xml:space="preserve"> units of assessment.</w:t>
      </w:r>
    </w:p>
    <w:p w14:paraId="1FD0972E" w14:textId="77777777" w:rsidR="0058695A" w:rsidRDefault="0058695A" w:rsidP="0058695A">
      <w:pPr>
        <w:pBdr>
          <w:bottom w:val="single" w:sz="4" w:space="1" w:color="auto"/>
        </w:pBdr>
        <w:rPr>
          <w:rFonts w:ascii="Arial" w:hAnsi="Arial" w:cs="Arial"/>
        </w:rPr>
      </w:pPr>
    </w:p>
    <w:p w14:paraId="4083B69F" w14:textId="77777777" w:rsidR="0058695A" w:rsidRDefault="00EF2E59" w:rsidP="00EF2E59">
      <w:pPr>
        <w:rPr>
          <w:rFonts w:ascii="Arial" w:hAnsi="Arial" w:cs="Arial"/>
        </w:rPr>
      </w:pPr>
      <w:r>
        <w:rPr>
          <w:rFonts w:ascii="Arial" w:hAnsi="Arial" w:cs="Arial"/>
        </w:rPr>
        <w:t xml:space="preserve">Through tuition fee income and local spending, our international students generate £690 </w:t>
      </w:r>
      <w:proofErr w:type="spellStart"/>
      <w:r>
        <w:rPr>
          <w:rFonts w:ascii="Arial" w:hAnsi="Arial" w:cs="Arial"/>
        </w:rPr>
        <w:t>million</w:t>
      </w:r>
      <w:proofErr w:type="spellEnd"/>
      <w:r>
        <w:rPr>
          <w:rFonts w:ascii="Arial" w:hAnsi="Arial" w:cs="Arial"/>
        </w:rPr>
        <w:t xml:space="preserve"> of economic impact </w:t>
      </w:r>
    </w:p>
    <w:p w14:paraId="4316129D" w14:textId="1801DBA3" w:rsidR="00EF2E59" w:rsidRDefault="0058695A" w:rsidP="00EF2E59">
      <w:pPr>
        <w:rPr>
          <w:rFonts w:ascii="Arial" w:hAnsi="Arial" w:cs="Arial"/>
        </w:rPr>
      </w:pPr>
      <w:r>
        <w:rPr>
          <w:rFonts w:ascii="Arial" w:hAnsi="Arial" w:cs="Arial"/>
        </w:rPr>
        <w:t>E</w:t>
      </w:r>
      <w:r w:rsidR="00EF2E59">
        <w:rPr>
          <w:rFonts w:ascii="Arial" w:hAnsi="Arial" w:cs="Arial"/>
        </w:rPr>
        <w:t>very seven international students studying at the University generate £1 million to the UK economy</w:t>
      </w:r>
    </w:p>
    <w:p w14:paraId="1B509F64" w14:textId="77777777" w:rsidR="0058695A" w:rsidRDefault="0058695A" w:rsidP="0058695A">
      <w:pPr>
        <w:pBdr>
          <w:bottom w:val="single" w:sz="4" w:space="1" w:color="auto"/>
        </w:pBdr>
        <w:rPr>
          <w:rFonts w:ascii="Arial" w:hAnsi="Arial" w:cs="Arial"/>
        </w:rPr>
      </w:pPr>
    </w:p>
    <w:p w14:paraId="5BCA8B35" w14:textId="77777777" w:rsidR="0058695A" w:rsidRDefault="00EF2E59" w:rsidP="00EF2E59">
      <w:pPr>
        <w:rPr>
          <w:rFonts w:ascii="Arial" w:hAnsi="Arial" w:cs="Arial"/>
        </w:rPr>
      </w:pPr>
      <w:r>
        <w:rPr>
          <w:rFonts w:ascii="Arial" w:hAnsi="Arial" w:cs="Arial"/>
        </w:rPr>
        <w:t xml:space="preserve">The impact of the University’s expenditure is £908 million </w:t>
      </w:r>
    </w:p>
    <w:p w14:paraId="40D4F331" w14:textId="6AB278A0" w:rsidR="00EF2E59" w:rsidRDefault="00EF2E59" w:rsidP="00EF2E59">
      <w:pPr>
        <w:rPr>
          <w:rFonts w:ascii="Arial" w:hAnsi="Arial" w:cs="Arial"/>
        </w:rPr>
      </w:pPr>
      <w:r>
        <w:rPr>
          <w:rFonts w:ascii="Arial" w:hAnsi="Arial" w:cs="Arial"/>
        </w:rPr>
        <w:t>45% of the University’s procurement expenditure in 2021/22 took place in the West Midlands, with 24% in Birmingham</w:t>
      </w:r>
    </w:p>
    <w:p w14:paraId="5A742936" w14:textId="77777777" w:rsidR="0058695A" w:rsidRDefault="0058695A" w:rsidP="0058695A">
      <w:pPr>
        <w:pBdr>
          <w:bottom w:val="single" w:sz="4" w:space="1" w:color="auto"/>
        </w:pBdr>
        <w:rPr>
          <w:rFonts w:ascii="Arial" w:hAnsi="Arial" w:cs="Arial"/>
        </w:rPr>
      </w:pPr>
    </w:p>
    <w:p w14:paraId="3020DA00" w14:textId="77777777" w:rsidR="0058695A" w:rsidRDefault="00EF2E59" w:rsidP="00EF2E59">
      <w:pPr>
        <w:rPr>
          <w:rFonts w:ascii="Arial" w:hAnsi="Arial" w:cs="Arial"/>
          <w:lang w:val="en-US"/>
        </w:rPr>
      </w:pPr>
      <w:r>
        <w:rPr>
          <w:rFonts w:ascii="Arial" w:hAnsi="Arial" w:cs="Arial"/>
          <w:lang w:val="en-US"/>
        </w:rPr>
        <w:t xml:space="preserve">We attracted approximately 870,000 attendees to public events </w:t>
      </w:r>
    </w:p>
    <w:p w14:paraId="1A8F8D0B" w14:textId="5CEAA80C" w:rsidR="00C9352B" w:rsidRDefault="0058695A" w:rsidP="00EF2E59">
      <w:pPr>
        <w:rPr>
          <w:rFonts w:ascii="Arial" w:hAnsi="Arial" w:cs="Arial"/>
          <w:lang w:val="en-US"/>
        </w:rPr>
      </w:pPr>
      <w:r>
        <w:rPr>
          <w:rFonts w:ascii="Arial" w:hAnsi="Arial" w:cs="Arial"/>
          <w:lang w:val="en-US"/>
        </w:rPr>
        <w:t>O</w:t>
      </w:r>
      <w:r w:rsidR="00EF2E59">
        <w:rPr>
          <w:rFonts w:ascii="Arial" w:hAnsi="Arial" w:cs="Arial"/>
          <w:lang w:val="en-US"/>
        </w:rPr>
        <w:t xml:space="preserve">ur city </w:t>
      </w:r>
      <w:proofErr w:type="spellStart"/>
      <w:r w:rsidR="00EF2E59">
        <w:rPr>
          <w:rFonts w:ascii="Arial" w:hAnsi="Arial" w:cs="Arial"/>
          <w:lang w:val="en-US"/>
        </w:rPr>
        <w:t>centre</w:t>
      </w:r>
      <w:proofErr w:type="spellEnd"/>
      <w:r w:rsidR="00EF2E59">
        <w:rPr>
          <w:rFonts w:ascii="Arial" w:hAnsi="Arial" w:cs="Arial"/>
          <w:lang w:val="en-US"/>
        </w:rPr>
        <w:t xml:space="preserve"> space The Exchange, museums, the Barber Institute of Fine Art, Winterbourne House and Gardens, and two concert halls bring cultural richness to our communities </w:t>
      </w:r>
    </w:p>
    <w:p w14:paraId="37AE8F23" w14:textId="77777777" w:rsidR="0058695A" w:rsidRDefault="00C9352B" w:rsidP="00EF2E59">
      <w:pPr>
        <w:rPr>
          <w:rFonts w:ascii="Arial" w:hAnsi="Arial" w:cs="Arial"/>
          <w:lang w:val="en-US"/>
        </w:rPr>
      </w:pPr>
      <w:r>
        <w:rPr>
          <w:rFonts w:ascii="Arial" w:hAnsi="Arial" w:cs="Arial"/>
          <w:lang w:val="en-US"/>
        </w:rPr>
        <w:t>The</w:t>
      </w:r>
      <w:r w:rsidR="007E08F0">
        <w:rPr>
          <w:rFonts w:ascii="Arial" w:hAnsi="Arial" w:cs="Arial"/>
          <w:lang w:val="en-US"/>
        </w:rPr>
        <w:t xml:space="preserve"> economic</w:t>
      </w:r>
      <w:r>
        <w:rPr>
          <w:rFonts w:ascii="Arial" w:hAnsi="Arial" w:cs="Arial"/>
          <w:lang w:val="en-US"/>
        </w:rPr>
        <w:t xml:space="preserve"> impact of tourism associated with us </w:t>
      </w:r>
      <w:r w:rsidR="007E08F0">
        <w:rPr>
          <w:rFonts w:ascii="Arial" w:hAnsi="Arial" w:cs="Arial"/>
          <w:lang w:val="en-US"/>
        </w:rPr>
        <w:t xml:space="preserve">is </w:t>
      </w:r>
      <w:r>
        <w:rPr>
          <w:rFonts w:ascii="Arial" w:hAnsi="Arial" w:cs="Arial"/>
          <w:lang w:val="en-US"/>
        </w:rPr>
        <w:t xml:space="preserve">£46 million </w:t>
      </w:r>
    </w:p>
    <w:p w14:paraId="64659188" w14:textId="73084E31" w:rsidR="00EF2E59" w:rsidRDefault="00EF2E59" w:rsidP="00EF2E59">
      <w:pPr>
        <w:rPr>
          <w:rFonts w:ascii="Arial" w:hAnsi="Arial" w:cs="Arial"/>
          <w:lang w:val="en-US"/>
        </w:rPr>
      </w:pPr>
      <w:r>
        <w:rPr>
          <w:rFonts w:ascii="Arial" w:hAnsi="Arial" w:cs="Arial"/>
          <w:lang w:val="en-US"/>
        </w:rPr>
        <w:t xml:space="preserve">26,000 overnight trips to </w:t>
      </w:r>
      <w:r w:rsidR="00A50DAC">
        <w:rPr>
          <w:rFonts w:ascii="Arial" w:hAnsi="Arial" w:cs="Arial"/>
          <w:lang w:val="en-US"/>
        </w:rPr>
        <w:t xml:space="preserve">Birmingham </w:t>
      </w:r>
      <w:r w:rsidR="0058695A">
        <w:rPr>
          <w:rFonts w:ascii="Arial" w:hAnsi="Arial" w:cs="Arial"/>
          <w:lang w:val="en-US"/>
        </w:rPr>
        <w:t xml:space="preserve">were </w:t>
      </w:r>
      <w:r w:rsidR="00A50DAC">
        <w:rPr>
          <w:rFonts w:ascii="Arial" w:hAnsi="Arial" w:cs="Arial"/>
          <w:lang w:val="en-US"/>
        </w:rPr>
        <w:t>linked with us</w:t>
      </w:r>
      <w:r>
        <w:rPr>
          <w:rFonts w:ascii="Arial" w:hAnsi="Arial" w:cs="Arial"/>
          <w:lang w:val="en-US"/>
        </w:rPr>
        <w:t xml:space="preserve"> </w:t>
      </w:r>
    </w:p>
    <w:p w14:paraId="10513FB0" w14:textId="77777777" w:rsidR="0058695A" w:rsidRDefault="0058695A" w:rsidP="0058695A">
      <w:pPr>
        <w:pBdr>
          <w:bottom w:val="single" w:sz="4" w:space="1" w:color="auto"/>
        </w:pBdr>
        <w:rPr>
          <w:rFonts w:ascii="Arial" w:hAnsi="Arial" w:cs="Arial"/>
          <w:lang w:val="en-US"/>
        </w:rPr>
      </w:pPr>
    </w:p>
    <w:p w14:paraId="1804F119" w14:textId="4F6796A9" w:rsidR="0058695A" w:rsidRDefault="0058695A" w:rsidP="0058695A">
      <w:pPr>
        <w:rPr>
          <w:rFonts w:ascii="Arial" w:hAnsi="Arial" w:cs="Arial"/>
        </w:rPr>
      </w:pPr>
      <w:r>
        <w:rPr>
          <w:rFonts w:ascii="Arial" w:hAnsi="Arial" w:cs="Arial"/>
        </w:rPr>
        <w:t xml:space="preserve">Staff volunteer at least 39,000 hours and </w:t>
      </w:r>
      <w:r w:rsidR="00287E31">
        <w:rPr>
          <w:rFonts w:ascii="Arial" w:hAnsi="Arial" w:cs="Arial"/>
        </w:rPr>
        <w:t xml:space="preserve">we have </w:t>
      </w:r>
      <w:r w:rsidR="005363E5">
        <w:rPr>
          <w:rFonts w:ascii="Arial" w:hAnsi="Arial" w:cs="Arial"/>
        </w:rPr>
        <w:t>4,900 student volunteers – staff and students</w:t>
      </w:r>
      <w:r>
        <w:rPr>
          <w:rFonts w:ascii="Arial" w:hAnsi="Arial" w:cs="Arial"/>
        </w:rPr>
        <w:t xml:space="preserve"> supporting local community groups and charities</w:t>
      </w:r>
    </w:p>
    <w:p w14:paraId="27843E5D" w14:textId="398ECF55" w:rsidR="00AA0B10" w:rsidRDefault="0058695A" w:rsidP="0058695A">
      <w:pPr>
        <w:rPr>
          <w:rFonts w:ascii="Arial" w:hAnsi="Arial" w:cs="Arial"/>
        </w:rPr>
      </w:pPr>
      <w:r>
        <w:rPr>
          <w:rFonts w:ascii="Arial" w:hAnsi="Arial" w:cs="Arial"/>
        </w:rPr>
        <w:t xml:space="preserve">We have </w:t>
      </w:r>
      <w:r w:rsidR="0039267B">
        <w:rPr>
          <w:rFonts w:ascii="Arial" w:hAnsi="Arial" w:cs="Arial"/>
        </w:rPr>
        <w:t>390,000</w:t>
      </w:r>
      <w:r>
        <w:rPr>
          <w:rFonts w:ascii="Arial" w:hAnsi="Arial" w:cs="Arial"/>
        </w:rPr>
        <w:t xml:space="preserve"> alumni across the world</w:t>
      </w:r>
    </w:p>
    <w:p w14:paraId="55B9203B" w14:textId="77777777" w:rsidR="00AA0B10" w:rsidRDefault="00AA0B10" w:rsidP="0058695A">
      <w:pPr>
        <w:rPr>
          <w:rFonts w:ascii="Arial" w:hAnsi="Arial" w:cs="Arial"/>
        </w:rPr>
      </w:pPr>
      <w:proofErr w:type="gramStart"/>
      <w:r>
        <w:rPr>
          <w:rFonts w:ascii="Arial" w:hAnsi="Arial" w:cs="Arial"/>
        </w:rPr>
        <w:t>T</w:t>
      </w:r>
      <w:r w:rsidR="0058695A">
        <w:rPr>
          <w:rFonts w:ascii="Arial" w:hAnsi="Arial" w:cs="Arial"/>
        </w:rPr>
        <w:t>he majority of</w:t>
      </w:r>
      <w:proofErr w:type="gramEnd"/>
      <w:r w:rsidR="0058695A">
        <w:rPr>
          <w:rFonts w:ascii="Arial" w:hAnsi="Arial" w:cs="Arial"/>
        </w:rPr>
        <w:t xml:space="preserve"> alumni believe that their degree helped them get a better job and to prepare them for their career. </w:t>
      </w:r>
    </w:p>
    <w:p w14:paraId="087D92FF" w14:textId="35861251" w:rsidR="005C4F0F" w:rsidRPr="00F833C8" w:rsidRDefault="00AA0B10" w:rsidP="00EF2E59">
      <w:pPr>
        <w:rPr>
          <w:rFonts w:ascii="Arial" w:hAnsi="Arial" w:cs="Arial"/>
        </w:rPr>
      </w:pPr>
      <w:r>
        <w:rPr>
          <w:rFonts w:ascii="Arial" w:hAnsi="Arial" w:cs="Arial"/>
        </w:rPr>
        <w:t>Alumni</w:t>
      </w:r>
      <w:r w:rsidR="0058695A">
        <w:rPr>
          <w:rFonts w:ascii="Arial" w:hAnsi="Arial" w:cs="Arial"/>
        </w:rPr>
        <w:t xml:space="preserve"> also believe that their degree helped improve a wide range of skills (e.g. critical thinking; analytical, writing, and communication skills)</w:t>
      </w:r>
    </w:p>
    <w:sectPr w:rsidR="005C4F0F" w:rsidRPr="00F83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B775" w14:textId="77777777" w:rsidR="008E6E20" w:rsidRDefault="008E6E20" w:rsidP="00284EA6">
      <w:pPr>
        <w:spacing w:after="0" w:line="240" w:lineRule="auto"/>
      </w:pPr>
      <w:r>
        <w:separator/>
      </w:r>
    </w:p>
  </w:endnote>
  <w:endnote w:type="continuationSeparator" w:id="0">
    <w:p w14:paraId="327D3D14" w14:textId="77777777" w:rsidR="008E6E20" w:rsidRDefault="008E6E20" w:rsidP="0028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9B20" w14:textId="77777777" w:rsidR="008E6E20" w:rsidRDefault="008E6E20" w:rsidP="00284EA6">
      <w:pPr>
        <w:spacing w:after="0" w:line="240" w:lineRule="auto"/>
      </w:pPr>
      <w:r>
        <w:separator/>
      </w:r>
    </w:p>
  </w:footnote>
  <w:footnote w:type="continuationSeparator" w:id="0">
    <w:p w14:paraId="1424A0E4" w14:textId="77777777" w:rsidR="008E6E20" w:rsidRDefault="008E6E20" w:rsidP="00284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6EED"/>
    <w:multiLevelType w:val="hybridMultilevel"/>
    <w:tmpl w:val="8FD44A32"/>
    <w:lvl w:ilvl="0" w:tplc="E37CA57C">
      <w:start w:val="1"/>
      <w:numFmt w:val="bullet"/>
      <w:lvlText w:val="▫"/>
      <w:lvlJc w:val="left"/>
      <w:pPr>
        <w:tabs>
          <w:tab w:val="num" w:pos="720"/>
        </w:tabs>
        <w:ind w:left="720" w:hanging="360"/>
      </w:pPr>
      <w:rPr>
        <w:rFonts w:ascii="Georgia" w:hAnsi="Georgia" w:hint="default"/>
      </w:rPr>
    </w:lvl>
    <w:lvl w:ilvl="1" w:tplc="1D3CC84C">
      <w:start w:val="1"/>
      <w:numFmt w:val="bullet"/>
      <w:lvlText w:val="▫"/>
      <w:lvlJc w:val="left"/>
      <w:pPr>
        <w:tabs>
          <w:tab w:val="num" w:pos="1440"/>
        </w:tabs>
        <w:ind w:left="1440" w:hanging="360"/>
      </w:pPr>
      <w:rPr>
        <w:rFonts w:ascii="Georgia" w:hAnsi="Georgia" w:hint="default"/>
      </w:rPr>
    </w:lvl>
    <w:lvl w:ilvl="2" w:tplc="C140551C" w:tentative="1">
      <w:start w:val="1"/>
      <w:numFmt w:val="bullet"/>
      <w:lvlText w:val="▫"/>
      <w:lvlJc w:val="left"/>
      <w:pPr>
        <w:tabs>
          <w:tab w:val="num" w:pos="2160"/>
        </w:tabs>
        <w:ind w:left="2160" w:hanging="360"/>
      </w:pPr>
      <w:rPr>
        <w:rFonts w:ascii="Georgia" w:hAnsi="Georgia" w:hint="default"/>
      </w:rPr>
    </w:lvl>
    <w:lvl w:ilvl="3" w:tplc="632E5916" w:tentative="1">
      <w:start w:val="1"/>
      <w:numFmt w:val="bullet"/>
      <w:lvlText w:val="▫"/>
      <w:lvlJc w:val="left"/>
      <w:pPr>
        <w:tabs>
          <w:tab w:val="num" w:pos="2880"/>
        </w:tabs>
        <w:ind w:left="2880" w:hanging="360"/>
      </w:pPr>
      <w:rPr>
        <w:rFonts w:ascii="Georgia" w:hAnsi="Georgia" w:hint="default"/>
      </w:rPr>
    </w:lvl>
    <w:lvl w:ilvl="4" w:tplc="F2A2BC56" w:tentative="1">
      <w:start w:val="1"/>
      <w:numFmt w:val="bullet"/>
      <w:lvlText w:val="▫"/>
      <w:lvlJc w:val="left"/>
      <w:pPr>
        <w:tabs>
          <w:tab w:val="num" w:pos="3600"/>
        </w:tabs>
        <w:ind w:left="3600" w:hanging="360"/>
      </w:pPr>
      <w:rPr>
        <w:rFonts w:ascii="Georgia" w:hAnsi="Georgia" w:hint="default"/>
      </w:rPr>
    </w:lvl>
    <w:lvl w:ilvl="5" w:tplc="B68CC2B6" w:tentative="1">
      <w:start w:val="1"/>
      <w:numFmt w:val="bullet"/>
      <w:lvlText w:val="▫"/>
      <w:lvlJc w:val="left"/>
      <w:pPr>
        <w:tabs>
          <w:tab w:val="num" w:pos="4320"/>
        </w:tabs>
        <w:ind w:left="4320" w:hanging="360"/>
      </w:pPr>
      <w:rPr>
        <w:rFonts w:ascii="Georgia" w:hAnsi="Georgia" w:hint="default"/>
      </w:rPr>
    </w:lvl>
    <w:lvl w:ilvl="6" w:tplc="43FA5B88" w:tentative="1">
      <w:start w:val="1"/>
      <w:numFmt w:val="bullet"/>
      <w:lvlText w:val="▫"/>
      <w:lvlJc w:val="left"/>
      <w:pPr>
        <w:tabs>
          <w:tab w:val="num" w:pos="5040"/>
        </w:tabs>
        <w:ind w:left="5040" w:hanging="360"/>
      </w:pPr>
      <w:rPr>
        <w:rFonts w:ascii="Georgia" w:hAnsi="Georgia" w:hint="default"/>
      </w:rPr>
    </w:lvl>
    <w:lvl w:ilvl="7" w:tplc="D1822170" w:tentative="1">
      <w:start w:val="1"/>
      <w:numFmt w:val="bullet"/>
      <w:lvlText w:val="▫"/>
      <w:lvlJc w:val="left"/>
      <w:pPr>
        <w:tabs>
          <w:tab w:val="num" w:pos="5760"/>
        </w:tabs>
        <w:ind w:left="5760" w:hanging="360"/>
      </w:pPr>
      <w:rPr>
        <w:rFonts w:ascii="Georgia" w:hAnsi="Georgia" w:hint="default"/>
      </w:rPr>
    </w:lvl>
    <w:lvl w:ilvl="8" w:tplc="11AC5702"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36AE5FC4"/>
    <w:multiLevelType w:val="hybridMultilevel"/>
    <w:tmpl w:val="481E0AD4"/>
    <w:lvl w:ilvl="0" w:tplc="B3B47330">
      <w:start w:val="1"/>
      <w:numFmt w:val="bullet"/>
      <w:lvlText w:val="▫"/>
      <w:lvlJc w:val="left"/>
      <w:pPr>
        <w:tabs>
          <w:tab w:val="num" w:pos="720"/>
        </w:tabs>
        <w:ind w:left="720" w:hanging="360"/>
      </w:pPr>
      <w:rPr>
        <w:rFonts w:ascii="Georgia" w:hAnsi="Georgia" w:hint="default"/>
      </w:rPr>
    </w:lvl>
    <w:lvl w:ilvl="1" w:tplc="7332C30C">
      <w:start w:val="1"/>
      <w:numFmt w:val="bullet"/>
      <w:lvlText w:val="▫"/>
      <w:lvlJc w:val="left"/>
      <w:pPr>
        <w:tabs>
          <w:tab w:val="num" w:pos="1440"/>
        </w:tabs>
        <w:ind w:left="1440" w:hanging="360"/>
      </w:pPr>
      <w:rPr>
        <w:rFonts w:ascii="Georgia" w:hAnsi="Georgia" w:hint="default"/>
      </w:rPr>
    </w:lvl>
    <w:lvl w:ilvl="2" w:tplc="359C222E" w:tentative="1">
      <w:start w:val="1"/>
      <w:numFmt w:val="bullet"/>
      <w:lvlText w:val="▫"/>
      <w:lvlJc w:val="left"/>
      <w:pPr>
        <w:tabs>
          <w:tab w:val="num" w:pos="2160"/>
        </w:tabs>
        <w:ind w:left="2160" w:hanging="360"/>
      </w:pPr>
      <w:rPr>
        <w:rFonts w:ascii="Georgia" w:hAnsi="Georgia" w:hint="default"/>
      </w:rPr>
    </w:lvl>
    <w:lvl w:ilvl="3" w:tplc="B40A87E6" w:tentative="1">
      <w:start w:val="1"/>
      <w:numFmt w:val="bullet"/>
      <w:lvlText w:val="▫"/>
      <w:lvlJc w:val="left"/>
      <w:pPr>
        <w:tabs>
          <w:tab w:val="num" w:pos="2880"/>
        </w:tabs>
        <w:ind w:left="2880" w:hanging="360"/>
      </w:pPr>
      <w:rPr>
        <w:rFonts w:ascii="Georgia" w:hAnsi="Georgia" w:hint="default"/>
      </w:rPr>
    </w:lvl>
    <w:lvl w:ilvl="4" w:tplc="2468F732" w:tentative="1">
      <w:start w:val="1"/>
      <w:numFmt w:val="bullet"/>
      <w:lvlText w:val="▫"/>
      <w:lvlJc w:val="left"/>
      <w:pPr>
        <w:tabs>
          <w:tab w:val="num" w:pos="3600"/>
        </w:tabs>
        <w:ind w:left="3600" w:hanging="360"/>
      </w:pPr>
      <w:rPr>
        <w:rFonts w:ascii="Georgia" w:hAnsi="Georgia" w:hint="default"/>
      </w:rPr>
    </w:lvl>
    <w:lvl w:ilvl="5" w:tplc="EEAE3280" w:tentative="1">
      <w:start w:val="1"/>
      <w:numFmt w:val="bullet"/>
      <w:lvlText w:val="▫"/>
      <w:lvlJc w:val="left"/>
      <w:pPr>
        <w:tabs>
          <w:tab w:val="num" w:pos="4320"/>
        </w:tabs>
        <w:ind w:left="4320" w:hanging="360"/>
      </w:pPr>
      <w:rPr>
        <w:rFonts w:ascii="Georgia" w:hAnsi="Georgia" w:hint="default"/>
      </w:rPr>
    </w:lvl>
    <w:lvl w:ilvl="6" w:tplc="DC682DDC" w:tentative="1">
      <w:start w:val="1"/>
      <w:numFmt w:val="bullet"/>
      <w:lvlText w:val="▫"/>
      <w:lvlJc w:val="left"/>
      <w:pPr>
        <w:tabs>
          <w:tab w:val="num" w:pos="5040"/>
        </w:tabs>
        <w:ind w:left="5040" w:hanging="360"/>
      </w:pPr>
      <w:rPr>
        <w:rFonts w:ascii="Georgia" w:hAnsi="Georgia" w:hint="default"/>
      </w:rPr>
    </w:lvl>
    <w:lvl w:ilvl="7" w:tplc="D562B774" w:tentative="1">
      <w:start w:val="1"/>
      <w:numFmt w:val="bullet"/>
      <w:lvlText w:val="▫"/>
      <w:lvlJc w:val="left"/>
      <w:pPr>
        <w:tabs>
          <w:tab w:val="num" w:pos="5760"/>
        </w:tabs>
        <w:ind w:left="5760" w:hanging="360"/>
      </w:pPr>
      <w:rPr>
        <w:rFonts w:ascii="Georgia" w:hAnsi="Georgia" w:hint="default"/>
      </w:rPr>
    </w:lvl>
    <w:lvl w:ilvl="8" w:tplc="7A4C53AC"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5FDA7665"/>
    <w:multiLevelType w:val="hybridMultilevel"/>
    <w:tmpl w:val="B56A1150"/>
    <w:lvl w:ilvl="0" w:tplc="9352161A">
      <w:start w:val="1"/>
      <w:numFmt w:val="bullet"/>
      <w:lvlText w:val=""/>
      <w:lvlJc w:val="left"/>
      <w:pPr>
        <w:tabs>
          <w:tab w:val="num" w:pos="720"/>
        </w:tabs>
        <w:ind w:left="720" w:hanging="360"/>
      </w:pPr>
      <w:rPr>
        <w:rFonts w:ascii="Wingdings" w:hAnsi="Wingdings" w:hint="default"/>
      </w:rPr>
    </w:lvl>
    <w:lvl w:ilvl="1" w:tplc="5B66E994">
      <w:numFmt w:val="bullet"/>
      <w:lvlText w:val="▫"/>
      <w:lvlJc w:val="left"/>
      <w:pPr>
        <w:tabs>
          <w:tab w:val="num" w:pos="1440"/>
        </w:tabs>
        <w:ind w:left="1440" w:hanging="360"/>
      </w:pPr>
      <w:rPr>
        <w:rFonts w:ascii="Georgia" w:hAnsi="Georgia" w:hint="default"/>
      </w:rPr>
    </w:lvl>
    <w:lvl w:ilvl="2" w:tplc="56DCCCC4" w:tentative="1">
      <w:start w:val="1"/>
      <w:numFmt w:val="bullet"/>
      <w:lvlText w:val=""/>
      <w:lvlJc w:val="left"/>
      <w:pPr>
        <w:tabs>
          <w:tab w:val="num" w:pos="2160"/>
        </w:tabs>
        <w:ind w:left="2160" w:hanging="360"/>
      </w:pPr>
      <w:rPr>
        <w:rFonts w:ascii="Wingdings" w:hAnsi="Wingdings" w:hint="default"/>
      </w:rPr>
    </w:lvl>
    <w:lvl w:ilvl="3" w:tplc="209C657E" w:tentative="1">
      <w:start w:val="1"/>
      <w:numFmt w:val="bullet"/>
      <w:lvlText w:val=""/>
      <w:lvlJc w:val="left"/>
      <w:pPr>
        <w:tabs>
          <w:tab w:val="num" w:pos="2880"/>
        </w:tabs>
        <w:ind w:left="2880" w:hanging="360"/>
      </w:pPr>
      <w:rPr>
        <w:rFonts w:ascii="Wingdings" w:hAnsi="Wingdings" w:hint="default"/>
      </w:rPr>
    </w:lvl>
    <w:lvl w:ilvl="4" w:tplc="E9FAD1BC" w:tentative="1">
      <w:start w:val="1"/>
      <w:numFmt w:val="bullet"/>
      <w:lvlText w:val=""/>
      <w:lvlJc w:val="left"/>
      <w:pPr>
        <w:tabs>
          <w:tab w:val="num" w:pos="3600"/>
        </w:tabs>
        <w:ind w:left="3600" w:hanging="360"/>
      </w:pPr>
      <w:rPr>
        <w:rFonts w:ascii="Wingdings" w:hAnsi="Wingdings" w:hint="default"/>
      </w:rPr>
    </w:lvl>
    <w:lvl w:ilvl="5" w:tplc="C7DE4202" w:tentative="1">
      <w:start w:val="1"/>
      <w:numFmt w:val="bullet"/>
      <w:lvlText w:val=""/>
      <w:lvlJc w:val="left"/>
      <w:pPr>
        <w:tabs>
          <w:tab w:val="num" w:pos="4320"/>
        </w:tabs>
        <w:ind w:left="4320" w:hanging="360"/>
      </w:pPr>
      <w:rPr>
        <w:rFonts w:ascii="Wingdings" w:hAnsi="Wingdings" w:hint="default"/>
      </w:rPr>
    </w:lvl>
    <w:lvl w:ilvl="6" w:tplc="A0DEE548" w:tentative="1">
      <w:start w:val="1"/>
      <w:numFmt w:val="bullet"/>
      <w:lvlText w:val=""/>
      <w:lvlJc w:val="left"/>
      <w:pPr>
        <w:tabs>
          <w:tab w:val="num" w:pos="5040"/>
        </w:tabs>
        <w:ind w:left="5040" w:hanging="360"/>
      </w:pPr>
      <w:rPr>
        <w:rFonts w:ascii="Wingdings" w:hAnsi="Wingdings" w:hint="default"/>
      </w:rPr>
    </w:lvl>
    <w:lvl w:ilvl="7" w:tplc="8AFED970" w:tentative="1">
      <w:start w:val="1"/>
      <w:numFmt w:val="bullet"/>
      <w:lvlText w:val=""/>
      <w:lvlJc w:val="left"/>
      <w:pPr>
        <w:tabs>
          <w:tab w:val="num" w:pos="5760"/>
        </w:tabs>
        <w:ind w:left="5760" w:hanging="360"/>
      </w:pPr>
      <w:rPr>
        <w:rFonts w:ascii="Wingdings" w:hAnsi="Wingdings" w:hint="default"/>
      </w:rPr>
    </w:lvl>
    <w:lvl w:ilvl="8" w:tplc="36907E66" w:tentative="1">
      <w:start w:val="1"/>
      <w:numFmt w:val="bullet"/>
      <w:lvlText w:val=""/>
      <w:lvlJc w:val="left"/>
      <w:pPr>
        <w:tabs>
          <w:tab w:val="num" w:pos="6480"/>
        </w:tabs>
        <w:ind w:left="6480" w:hanging="360"/>
      </w:pPr>
      <w:rPr>
        <w:rFonts w:ascii="Wingdings" w:hAnsi="Wingdings" w:hint="default"/>
      </w:rPr>
    </w:lvl>
  </w:abstractNum>
  <w:num w:numId="1" w16cid:durableId="1104886248">
    <w:abstractNumId w:val="0"/>
  </w:num>
  <w:num w:numId="2" w16cid:durableId="568805113">
    <w:abstractNumId w:val="1"/>
  </w:num>
  <w:num w:numId="3" w16cid:durableId="1535771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37"/>
    <w:rsid w:val="00025457"/>
    <w:rsid w:val="0003750C"/>
    <w:rsid w:val="00054390"/>
    <w:rsid w:val="000975BB"/>
    <w:rsid w:val="000C4571"/>
    <w:rsid w:val="0011349F"/>
    <w:rsid w:val="0014390C"/>
    <w:rsid w:val="00180696"/>
    <w:rsid w:val="001A0C56"/>
    <w:rsid w:val="001B5D27"/>
    <w:rsid w:val="002115A2"/>
    <w:rsid w:val="002666E3"/>
    <w:rsid w:val="00284EA6"/>
    <w:rsid w:val="00287E31"/>
    <w:rsid w:val="00291627"/>
    <w:rsid w:val="00377D85"/>
    <w:rsid w:val="0039267B"/>
    <w:rsid w:val="003C2790"/>
    <w:rsid w:val="003C3088"/>
    <w:rsid w:val="003F2FD6"/>
    <w:rsid w:val="003F60C8"/>
    <w:rsid w:val="004007DF"/>
    <w:rsid w:val="0042328B"/>
    <w:rsid w:val="00434F41"/>
    <w:rsid w:val="004571F4"/>
    <w:rsid w:val="00463DC6"/>
    <w:rsid w:val="004B6975"/>
    <w:rsid w:val="004B6C8E"/>
    <w:rsid w:val="004C230D"/>
    <w:rsid w:val="004D0197"/>
    <w:rsid w:val="004D588D"/>
    <w:rsid w:val="004F29DF"/>
    <w:rsid w:val="004F7552"/>
    <w:rsid w:val="00516FAF"/>
    <w:rsid w:val="00521F3B"/>
    <w:rsid w:val="005363E5"/>
    <w:rsid w:val="005578F7"/>
    <w:rsid w:val="0058695A"/>
    <w:rsid w:val="005A673C"/>
    <w:rsid w:val="005C4F0F"/>
    <w:rsid w:val="005F6DCD"/>
    <w:rsid w:val="0062156D"/>
    <w:rsid w:val="006428CB"/>
    <w:rsid w:val="00645B0D"/>
    <w:rsid w:val="00663E86"/>
    <w:rsid w:val="00675032"/>
    <w:rsid w:val="00691BFA"/>
    <w:rsid w:val="007148BF"/>
    <w:rsid w:val="007201A5"/>
    <w:rsid w:val="00742180"/>
    <w:rsid w:val="00750FA1"/>
    <w:rsid w:val="00790534"/>
    <w:rsid w:val="007B2732"/>
    <w:rsid w:val="007E08F0"/>
    <w:rsid w:val="00810AB9"/>
    <w:rsid w:val="008129A7"/>
    <w:rsid w:val="0084065D"/>
    <w:rsid w:val="0087326D"/>
    <w:rsid w:val="008814C5"/>
    <w:rsid w:val="008828F2"/>
    <w:rsid w:val="00896537"/>
    <w:rsid w:val="008A6304"/>
    <w:rsid w:val="008B585F"/>
    <w:rsid w:val="008D6115"/>
    <w:rsid w:val="008E396A"/>
    <w:rsid w:val="008E6E20"/>
    <w:rsid w:val="00924C45"/>
    <w:rsid w:val="00981A36"/>
    <w:rsid w:val="009A3F2E"/>
    <w:rsid w:val="009D3727"/>
    <w:rsid w:val="009F3AFD"/>
    <w:rsid w:val="00A03D31"/>
    <w:rsid w:val="00A263E4"/>
    <w:rsid w:val="00A50B8B"/>
    <w:rsid w:val="00A50DAC"/>
    <w:rsid w:val="00A55118"/>
    <w:rsid w:val="00AA0B10"/>
    <w:rsid w:val="00AA4166"/>
    <w:rsid w:val="00AE53AD"/>
    <w:rsid w:val="00AE57F1"/>
    <w:rsid w:val="00B20698"/>
    <w:rsid w:val="00B212E1"/>
    <w:rsid w:val="00B476FD"/>
    <w:rsid w:val="00B60A7C"/>
    <w:rsid w:val="00B6362D"/>
    <w:rsid w:val="00B762F3"/>
    <w:rsid w:val="00BB269D"/>
    <w:rsid w:val="00C03DDE"/>
    <w:rsid w:val="00C32FB4"/>
    <w:rsid w:val="00C358B6"/>
    <w:rsid w:val="00C761A9"/>
    <w:rsid w:val="00C91543"/>
    <w:rsid w:val="00C9352B"/>
    <w:rsid w:val="00CA2874"/>
    <w:rsid w:val="00CA4C2B"/>
    <w:rsid w:val="00CD373F"/>
    <w:rsid w:val="00D2302C"/>
    <w:rsid w:val="00D240E0"/>
    <w:rsid w:val="00D56546"/>
    <w:rsid w:val="00D7599F"/>
    <w:rsid w:val="00DB3DB4"/>
    <w:rsid w:val="00DB7645"/>
    <w:rsid w:val="00DD354A"/>
    <w:rsid w:val="00E03792"/>
    <w:rsid w:val="00E3726C"/>
    <w:rsid w:val="00E50D6E"/>
    <w:rsid w:val="00E854DC"/>
    <w:rsid w:val="00E901D9"/>
    <w:rsid w:val="00E90358"/>
    <w:rsid w:val="00EF2E59"/>
    <w:rsid w:val="00EF41E1"/>
    <w:rsid w:val="00F3135D"/>
    <w:rsid w:val="00F33388"/>
    <w:rsid w:val="00F56714"/>
    <w:rsid w:val="00F754B8"/>
    <w:rsid w:val="00F756EE"/>
    <w:rsid w:val="00F833C8"/>
    <w:rsid w:val="00FE0D86"/>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2DAC"/>
  <w15:chartTrackingRefBased/>
  <w15:docId w15:val="{A4C190D9-EE9F-469A-85AC-5580DA24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59"/>
    <w:pPr>
      <w:spacing w:line="256" w:lineRule="auto"/>
    </w:pPr>
  </w:style>
  <w:style w:type="paragraph" w:styleId="Heading1">
    <w:name w:val="heading 1"/>
    <w:basedOn w:val="Normal"/>
    <w:next w:val="Normal"/>
    <w:link w:val="Heading1Char"/>
    <w:uiPriority w:val="9"/>
    <w:qFormat/>
    <w:rsid w:val="0089653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653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53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53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53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53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53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53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53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6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537"/>
    <w:rPr>
      <w:rFonts w:eastAsiaTheme="majorEastAsia" w:cstheme="majorBidi"/>
      <w:color w:val="272727" w:themeColor="text1" w:themeTint="D8"/>
    </w:rPr>
  </w:style>
  <w:style w:type="paragraph" w:styleId="Title">
    <w:name w:val="Title"/>
    <w:basedOn w:val="Normal"/>
    <w:next w:val="Normal"/>
    <w:link w:val="TitleChar"/>
    <w:uiPriority w:val="10"/>
    <w:qFormat/>
    <w:rsid w:val="00896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53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53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896537"/>
    <w:rPr>
      <w:i/>
      <w:iCs/>
      <w:color w:val="404040" w:themeColor="text1" w:themeTint="BF"/>
    </w:rPr>
  </w:style>
  <w:style w:type="paragraph" w:styleId="ListParagraph">
    <w:name w:val="List Paragraph"/>
    <w:basedOn w:val="Normal"/>
    <w:uiPriority w:val="34"/>
    <w:qFormat/>
    <w:rsid w:val="00896537"/>
    <w:pPr>
      <w:spacing w:line="259" w:lineRule="auto"/>
      <w:ind w:left="720"/>
      <w:contextualSpacing/>
    </w:pPr>
  </w:style>
  <w:style w:type="character" w:styleId="IntenseEmphasis">
    <w:name w:val="Intense Emphasis"/>
    <w:basedOn w:val="DefaultParagraphFont"/>
    <w:uiPriority w:val="21"/>
    <w:qFormat/>
    <w:rsid w:val="00896537"/>
    <w:rPr>
      <w:i/>
      <w:iCs/>
      <w:color w:val="0F4761" w:themeColor="accent1" w:themeShade="BF"/>
    </w:rPr>
  </w:style>
  <w:style w:type="paragraph" w:styleId="IntenseQuote">
    <w:name w:val="Intense Quote"/>
    <w:basedOn w:val="Normal"/>
    <w:next w:val="Normal"/>
    <w:link w:val="IntenseQuoteChar"/>
    <w:uiPriority w:val="30"/>
    <w:qFormat/>
    <w:rsid w:val="0089653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537"/>
    <w:rPr>
      <w:i/>
      <w:iCs/>
      <w:color w:val="0F4761" w:themeColor="accent1" w:themeShade="BF"/>
    </w:rPr>
  </w:style>
  <w:style w:type="character" w:styleId="IntenseReference">
    <w:name w:val="Intense Reference"/>
    <w:basedOn w:val="DefaultParagraphFont"/>
    <w:uiPriority w:val="32"/>
    <w:qFormat/>
    <w:rsid w:val="00896537"/>
    <w:rPr>
      <w:b/>
      <w:bCs/>
      <w:smallCaps/>
      <w:color w:val="0F4761" w:themeColor="accent1" w:themeShade="BF"/>
      <w:spacing w:val="5"/>
    </w:rPr>
  </w:style>
  <w:style w:type="paragraph" w:styleId="CommentText">
    <w:name w:val="annotation text"/>
    <w:basedOn w:val="Normal"/>
    <w:link w:val="CommentTextChar"/>
    <w:uiPriority w:val="99"/>
    <w:semiHidden/>
    <w:unhideWhenUsed/>
    <w:rsid w:val="00EF2E59"/>
    <w:pPr>
      <w:spacing w:line="240" w:lineRule="auto"/>
    </w:pPr>
    <w:rPr>
      <w:sz w:val="20"/>
      <w:szCs w:val="20"/>
    </w:rPr>
  </w:style>
  <w:style w:type="character" w:customStyle="1" w:styleId="CommentTextChar">
    <w:name w:val="Comment Text Char"/>
    <w:basedOn w:val="DefaultParagraphFont"/>
    <w:link w:val="CommentText"/>
    <w:uiPriority w:val="99"/>
    <w:semiHidden/>
    <w:rsid w:val="00EF2E59"/>
    <w:rPr>
      <w:sz w:val="20"/>
      <w:szCs w:val="20"/>
    </w:rPr>
  </w:style>
  <w:style w:type="character" w:styleId="CommentReference">
    <w:name w:val="annotation reference"/>
    <w:basedOn w:val="DefaultParagraphFont"/>
    <w:uiPriority w:val="99"/>
    <w:semiHidden/>
    <w:unhideWhenUsed/>
    <w:rsid w:val="00EF2E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3650">
      <w:bodyDiv w:val="1"/>
      <w:marLeft w:val="0"/>
      <w:marRight w:val="0"/>
      <w:marTop w:val="0"/>
      <w:marBottom w:val="0"/>
      <w:divBdr>
        <w:top w:val="none" w:sz="0" w:space="0" w:color="auto"/>
        <w:left w:val="none" w:sz="0" w:space="0" w:color="auto"/>
        <w:bottom w:val="none" w:sz="0" w:space="0" w:color="auto"/>
        <w:right w:val="none" w:sz="0" w:space="0" w:color="auto"/>
      </w:divBdr>
      <w:divsChild>
        <w:div w:id="755051183">
          <w:marLeft w:val="1037"/>
          <w:marRight w:val="0"/>
          <w:marTop w:val="120"/>
          <w:marBottom w:val="0"/>
          <w:divBdr>
            <w:top w:val="none" w:sz="0" w:space="0" w:color="auto"/>
            <w:left w:val="none" w:sz="0" w:space="0" w:color="auto"/>
            <w:bottom w:val="none" w:sz="0" w:space="0" w:color="auto"/>
            <w:right w:val="none" w:sz="0" w:space="0" w:color="auto"/>
          </w:divBdr>
        </w:div>
      </w:divsChild>
    </w:div>
    <w:div w:id="264387592">
      <w:bodyDiv w:val="1"/>
      <w:marLeft w:val="0"/>
      <w:marRight w:val="0"/>
      <w:marTop w:val="0"/>
      <w:marBottom w:val="0"/>
      <w:divBdr>
        <w:top w:val="none" w:sz="0" w:space="0" w:color="auto"/>
        <w:left w:val="none" w:sz="0" w:space="0" w:color="auto"/>
        <w:bottom w:val="none" w:sz="0" w:space="0" w:color="auto"/>
        <w:right w:val="none" w:sz="0" w:space="0" w:color="auto"/>
      </w:divBdr>
      <w:divsChild>
        <w:div w:id="1084910554">
          <w:marLeft w:val="1037"/>
          <w:marRight w:val="0"/>
          <w:marTop w:val="120"/>
          <w:marBottom w:val="120"/>
          <w:divBdr>
            <w:top w:val="none" w:sz="0" w:space="0" w:color="auto"/>
            <w:left w:val="none" w:sz="0" w:space="0" w:color="auto"/>
            <w:bottom w:val="none" w:sz="0" w:space="0" w:color="auto"/>
            <w:right w:val="none" w:sz="0" w:space="0" w:color="auto"/>
          </w:divBdr>
        </w:div>
        <w:div w:id="1790860077">
          <w:marLeft w:val="1037"/>
          <w:marRight w:val="0"/>
          <w:marTop w:val="120"/>
          <w:marBottom w:val="120"/>
          <w:divBdr>
            <w:top w:val="none" w:sz="0" w:space="0" w:color="auto"/>
            <w:left w:val="none" w:sz="0" w:space="0" w:color="auto"/>
            <w:bottom w:val="none" w:sz="0" w:space="0" w:color="auto"/>
            <w:right w:val="none" w:sz="0" w:space="0" w:color="auto"/>
          </w:divBdr>
        </w:div>
        <w:div w:id="2054384793">
          <w:marLeft w:val="1037"/>
          <w:marRight w:val="0"/>
          <w:marTop w:val="120"/>
          <w:marBottom w:val="120"/>
          <w:divBdr>
            <w:top w:val="none" w:sz="0" w:space="0" w:color="auto"/>
            <w:left w:val="none" w:sz="0" w:space="0" w:color="auto"/>
            <w:bottom w:val="none" w:sz="0" w:space="0" w:color="auto"/>
            <w:right w:val="none" w:sz="0" w:space="0" w:color="auto"/>
          </w:divBdr>
        </w:div>
        <w:div w:id="537812744">
          <w:marLeft w:val="1037"/>
          <w:marRight w:val="0"/>
          <w:marTop w:val="120"/>
          <w:marBottom w:val="120"/>
          <w:divBdr>
            <w:top w:val="none" w:sz="0" w:space="0" w:color="auto"/>
            <w:left w:val="none" w:sz="0" w:space="0" w:color="auto"/>
            <w:bottom w:val="none" w:sz="0" w:space="0" w:color="auto"/>
            <w:right w:val="none" w:sz="0" w:space="0" w:color="auto"/>
          </w:divBdr>
        </w:div>
        <w:div w:id="183058507">
          <w:marLeft w:val="1037"/>
          <w:marRight w:val="0"/>
          <w:marTop w:val="120"/>
          <w:marBottom w:val="120"/>
          <w:divBdr>
            <w:top w:val="none" w:sz="0" w:space="0" w:color="auto"/>
            <w:left w:val="none" w:sz="0" w:space="0" w:color="auto"/>
            <w:bottom w:val="none" w:sz="0" w:space="0" w:color="auto"/>
            <w:right w:val="none" w:sz="0" w:space="0" w:color="auto"/>
          </w:divBdr>
        </w:div>
      </w:divsChild>
    </w:div>
    <w:div w:id="504562983">
      <w:bodyDiv w:val="1"/>
      <w:marLeft w:val="0"/>
      <w:marRight w:val="0"/>
      <w:marTop w:val="0"/>
      <w:marBottom w:val="0"/>
      <w:divBdr>
        <w:top w:val="none" w:sz="0" w:space="0" w:color="auto"/>
        <w:left w:val="none" w:sz="0" w:space="0" w:color="auto"/>
        <w:bottom w:val="none" w:sz="0" w:space="0" w:color="auto"/>
        <w:right w:val="none" w:sz="0" w:space="0" w:color="auto"/>
      </w:divBdr>
    </w:div>
    <w:div w:id="607733753">
      <w:bodyDiv w:val="1"/>
      <w:marLeft w:val="0"/>
      <w:marRight w:val="0"/>
      <w:marTop w:val="0"/>
      <w:marBottom w:val="0"/>
      <w:divBdr>
        <w:top w:val="none" w:sz="0" w:space="0" w:color="auto"/>
        <w:left w:val="none" w:sz="0" w:space="0" w:color="auto"/>
        <w:bottom w:val="none" w:sz="0" w:space="0" w:color="auto"/>
        <w:right w:val="none" w:sz="0" w:space="0" w:color="auto"/>
      </w:divBdr>
    </w:div>
    <w:div w:id="671839720">
      <w:bodyDiv w:val="1"/>
      <w:marLeft w:val="0"/>
      <w:marRight w:val="0"/>
      <w:marTop w:val="0"/>
      <w:marBottom w:val="0"/>
      <w:divBdr>
        <w:top w:val="none" w:sz="0" w:space="0" w:color="auto"/>
        <w:left w:val="none" w:sz="0" w:space="0" w:color="auto"/>
        <w:bottom w:val="none" w:sz="0" w:space="0" w:color="auto"/>
        <w:right w:val="none" w:sz="0" w:space="0" w:color="auto"/>
      </w:divBdr>
    </w:div>
    <w:div w:id="797458964">
      <w:bodyDiv w:val="1"/>
      <w:marLeft w:val="0"/>
      <w:marRight w:val="0"/>
      <w:marTop w:val="0"/>
      <w:marBottom w:val="0"/>
      <w:divBdr>
        <w:top w:val="none" w:sz="0" w:space="0" w:color="auto"/>
        <w:left w:val="none" w:sz="0" w:space="0" w:color="auto"/>
        <w:bottom w:val="none" w:sz="0" w:space="0" w:color="auto"/>
        <w:right w:val="none" w:sz="0" w:space="0" w:color="auto"/>
      </w:divBdr>
      <w:divsChild>
        <w:div w:id="369496979">
          <w:marLeft w:val="576"/>
          <w:marRight w:val="0"/>
          <w:marTop w:val="0"/>
          <w:marBottom w:val="120"/>
          <w:divBdr>
            <w:top w:val="none" w:sz="0" w:space="0" w:color="auto"/>
            <w:left w:val="none" w:sz="0" w:space="0" w:color="auto"/>
            <w:bottom w:val="none" w:sz="0" w:space="0" w:color="auto"/>
            <w:right w:val="none" w:sz="0" w:space="0" w:color="auto"/>
          </w:divBdr>
        </w:div>
        <w:div w:id="64688863">
          <w:marLeft w:val="1037"/>
          <w:marRight w:val="0"/>
          <w:marTop w:val="0"/>
          <w:marBottom w:val="60"/>
          <w:divBdr>
            <w:top w:val="none" w:sz="0" w:space="0" w:color="auto"/>
            <w:left w:val="none" w:sz="0" w:space="0" w:color="auto"/>
            <w:bottom w:val="none" w:sz="0" w:space="0" w:color="auto"/>
            <w:right w:val="none" w:sz="0" w:space="0" w:color="auto"/>
          </w:divBdr>
        </w:div>
        <w:div w:id="1409838262">
          <w:marLeft w:val="1037"/>
          <w:marRight w:val="0"/>
          <w:marTop w:val="0"/>
          <w:marBottom w:val="60"/>
          <w:divBdr>
            <w:top w:val="none" w:sz="0" w:space="0" w:color="auto"/>
            <w:left w:val="none" w:sz="0" w:space="0" w:color="auto"/>
            <w:bottom w:val="none" w:sz="0" w:space="0" w:color="auto"/>
            <w:right w:val="none" w:sz="0" w:space="0" w:color="auto"/>
          </w:divBdr>
        </w:div>
      </w:divsChild>
    </w:div>
    <w:div w:id="1361709236">
      <w:bodyDiv w:val="1"/>
      <w:marLeft w:val="0"/>
      <w:marRight w:val="0"/>
      <w:marTop w:val="0"/>
      <w:marBottom w:val="0"/>
      <w:divBdr>
        <w:top w:val="none" w:sz="0" w:space="0" w:color="auto"/>
        <w:left w:val="none" w:sz="0" w:space="0" w:color="auto"/>
        <w:bottom w:val="none" w:sz="0" w:space="0" w:color="auto"/>
        <w:right w:val="none" w:sz="0" w:space="0" w:color="auto"/>
      </w:divBdr>
    </w:div>
    <w:div w:id="1525364393">
      <w:bodyDiv w:val="1"/>
      <w:marLeft w:val="0"/>
      <w:marRight w:val="0"/>
      <w:marTop w:val="0"/>
      <w:marBottom w:val="0"/>
      <w:divBdr>
        <w:top w:val="none" w:sz="0" w:space="0" w:color="auto"/>
        <w:left w:val="none" w:sz="0" w:space="0" w:color="auto"/>
        <w:bottom w:val="none" w:sz="0" w:space="0" w:color="auto"/>
        <w:right w:val="none" w:sz="0" w:space="0" w:color="auto"/>
      </w:divBdr>
    </w:div>
    <w:div w:id="1723559005">
      <w:bodyDiv w:val="1"/>
      <w:marLeft w:val="0"/>
      <w:marRight w:val="0"/>
      <w:marTop w:val="0"/>
      <w:marBottom w:val="0"/>
      <w:divBdr>
        <w:top w:val="none" w:sz="0" w:space="0" w:color="auto"/>
        <w:left w:val="none" w:sz="0" w:space="0" w:color="auto"/>
        <w:bottom w:val="none" w:sz="0" w:space="0" w:color="auto"/>
        <w:right w:val="none" w:sz="0" w:space="0" w:color="auto"/>
      </w:divBdr>
    </w:div>
    <w:div w:id="2026516917">
      <w:bodyDiv w:val="1"/>
      <w:marLeft w:val="0"/>
      <w:marRight w:val="0"/>
      <w:marTop w:val="0"/>
      <w:marBottom w:val="0"/>
      <w:divBdr>
        <w:top w:val="none" w:sz="0" w:space="0" w:color="auto"/>
        <w:left w:val="none" w:sz="0" w:space="0" w:color="auto"/>
        <w:bottom w:val="none" w:sz="0" w:space="0" w:color="auto"/>
        <w:right w:val="none" w:sz="0" w:space="0" w:color="auto"/>
      </w:divBdr>
    </w:div>
    <w:div w:id="20863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6E78-BD82-455B-9DDC-337E4365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Hobbs (Communications)</dc:creator>
  <cp:keywords/>
  <dc:description/>
  <cp:lastModifiedBy>Andy Tootell (Campaigns and Reputation)</cp:lastModifiedBy>
  <cp:revision>2</cp:revision>
  <dcterms:created xsi:type="dcterms:W3CDTF">2024-06-17T09:17:00Z</dcterms:created>
  <dcterms:modified xsi:type="dcterms:W3CDTF">2024-06-17T09:17:00Z</dcterms:modified>
</cp:coreProperties>
</file>